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Produžene prijave za Nordeus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backend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praksu</w:t>
      </w:r>
    </w:p>
    <w:p w:rsidR="00000000" w:rsidDel="00000000" w:rsidP="00000000" w:rsidRDefault="00000000" w:rsidRPr="00000000">
      <w:pPr>
        <w:spacing w:after="20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rijave su otvorene još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dana. Na tromesečnoj praksi studenti </w:t>
      </w:r>
    </w:p>
    <w:p w:rsidR="00000000" w:rsidDel="00000000" w:rsidP="00000000" w:rsidRDefault="00000000" w:rsidRPr="00000000">
      <w:pPr>
        <w:spacing w:after="20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će direktno raditi na igri Top Eleven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36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Beograd, Srbija – 08.08.2016.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– Ostalo je još 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dana do zatvaranja konkursa za plaćenu praksu iz oblasti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0"/>
          <w:szCs w:val="20"/>
          <w:rtl w:val="0"/>
        </w:rPr>
        <w:t xml:space="preserve">backend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developmenta koju u svojoj beogradskoj kancelariji organizuje kompanija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0"/>
            <w:szCs w:val="20"/>
            <w:u w:val="single"/>
            <w:rtl w:val="0"/>
          </w:rPr>
          <w:t xml:space="preserve">Nordeus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. Studenti koji prođu testiranje, počeće sa praksom 15. septembra, a tokom tri meseca trajanja obuke imaće priliku da se upoznaju sa jedinstvenim načinom pravljenja igara.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Budući polaznici radiće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highlight w:val="white"/>
          <w:rtl w:val="0"/>
        </w:rPr>
        <w:t xml:space="preserve">direktno na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0"/>
            <w:szCs w:val="20"/>
            <w:highlight w:val="white"/>
            <w:rtl w:val="0"/>
          </w:rPr>
          <w:t xml:space="preserve"> 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sz w:val="20"/>
            <w:szCs w:val="20"/>
            <w:highlight w:val="white"/>
            <w:u w:val="single"/>
            <w:rtl w:val="0"/>
          </w:rPr>
          <w:t xml:space="preserve">Top Eleven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1155cc"/>
          <w:sz w:val="20"/>
          <w:szCs w:val="20"/>
          <w:highlight w:val="white"/>
          <w:u w:val="single"/>
          <w:rtl w:val="0"/>
        </w:rPr>
        <w:t xml:space="preserve">u,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highlight w:val="white"/>
          <w:rtl w:val="0"/>
        </w:rPr>
        <w:t xml:space="preserve"> jednoj od najpopularnijih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sportskih igara na svetu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highlight w:val="white"/>
          <w:rtl w:val="0"/>
        </w:rPr>
        <w:t xml:space="preserve">, a rezultat njihovog rada koristiće milioni korisnika širom sveta.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highlight w:val="white"/>
          <w:rtl w:val="0"/>
        </w:rPr>
        <w:t xml:space="preserve">Praksa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 će biti organizovana u timu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highlight w:val="white"/>
          <w:rtl w:val="0"/>
        </w:rPr>
        <w:t xml:space="preserve">koji razvija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ovu igru,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highlight w:val="white"/>
          <w:rtl w:val="0"/>
        </w:rPr>
        <w:t xml:space="preserve">a svaki od polaznika sarađivaće sa svojim mentorom koji će biti odgovoran za njihov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o učenje i napredak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Za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22222"/>
          <w:sz w:val="20"/>
          <w:szCs w:val="20"/>
          <w:rtl w:val="0"/>
        </w:rPr>
        <w:t xml:space="preserve">backend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praksu mogu da konkurišu studenti osnovnih ili master studija računarskog inženjeringa, a od kandidata će se zahtevati poznavanje algoritama i struktura podataka, rad sa bazama podataka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highlight w:val="whit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komunikacija 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22222"/>
          <w:sz w:val="20"/>
          <w:szCs w:val="20"/>
          <w:rtl w:val="0"/>
        </w:rPr>
        <w:t xml:space="preserve">frontend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slojem. Nakon perioda selekcije, koji će trajati od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. avgusta do 9. septembra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, najbolji kandidati će svoju tromesečnu praksu početi od 15. septembra. Studentima van Beograda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Nordeus obezbeđuje i smeštaj i hranu tokom trajanja prakse, a najbolji pojedinci mogu dobiti i priliku da rade u kompaniji Nordeus nakon ovog tromeseč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nog iskustva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after="100" w:before="10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0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Svi detalji o uslovima konkursa mogu se pronaći na: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sz w:val="20"/>
            <w:szCs w:val="20"/>
            <w:u w:val="single"/>
            <w:rtl w:val="0"/>
          </w:rPr>
          <w:t xml:space="preserve">http://norde.us/backend-internship</w:t>
        </w:r>
      </w:hyperlink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10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Prijave za praksu se mogu poslati najkasnije do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. avgusta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na: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sz w:val="20"/>
            <w:szCs w:val="20"/>
            <w:u w:val="single"/>
            <w:rtl w:val="0"/>
          </w:rPr>
          <w:t xml:space="preserve">http://norde.us/backend-dev-intern</w:t>
        </w:r>
      </w:hyperlink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100" w:line="360" w:lineRule="auto"/>
        <w:contextualSpacing w:val="0"/>
      </w:pPr>
      <w:bookmarkStart w:colFirst="0" w:colLast="0" w:name="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Za sve dodatne informacije: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sz w:val="20"/>
            <w:szCs w:val="20"/>
            <w:u w:val="single"/>
            <w:rtl w:val="0"/>
          </w:rPr>
          <w:t xml:space="preserve">internship@nordeus.com</w:t>
        </w:r>
      </w:hyperlink>
      <w:hyperlink r:id="rId1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10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before="10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O NORDEUSU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0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0"/>
          <w:szCs w:val="20"/>
          <w:rtl w:val="0"/>
        </w:rPr>
        <w:t xml:space="preserve">Nordeus je izdavač i razvojni studio igre Top Eleven – Be a Football Manager, najpopularnije online sportske igre na svetu. Radi se ujedno o jednoj od najuspešnijih game development kompanija u Evropi sa kancelarijama u Beogradu, Londonu i Dablinu. Više o Nordeusu potražite na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sz w:val="20"/>
            <w:szCs w:val="20"/>
            <w:u w:val="single"/>
            <w:rtl w:val="0"/>
          </w:rPr>
          <w:t xml:space="preserve">www.nordeus.com.</w:t>
        </w:r>
      </w:hyperlink>
      <w:hyperlink r:id="rId1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200" w:before="0" w:line="360" w:lineRule="auto"/>
        <w:contextualSpacing w:val="0"/>
      </w:pPr>
      <w:hyperlink r:id="rId16">
        <w:r w:rsidDel="00000000" w:rsidR="00000000" w:rsidRPr="00000000">
          <w:rPr>
            <w:rtl w:val="0"/>
          </w:rPr>
        </w:r>
      </w:hyperlink>
    </w:p>
    <w:sectPr>
      <w:headerReference r:id="rId17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  <w:jc w:val="right"/>
    </w:pPr>
    <w:r w:rsidDel="00000000" w:rsidR="00000000" w:rsidRPr="00000000">
      <w:drawing>
        <wp:inline distB="0" distT="0" distL="0" distR="0">
          <wp:extent cx="1823442" cy="484309"/>
          <wp:effectExtent b="0" l="0" r="0" t="0"/>
          <wp:docPr descr="http://www.conversionmeetup.net/wp-content/uploads/2014/09/nordeus.png" id="1" name="image01.png"/>
          <a:graphic>
            <a:graphicData uri="http://schemas.openxmlformats.org/drawingml/2006/picture">
              <pic:pic>
                <pic:nvPicPr>
                  <pic:cNvPr descr="http://www.conversionmeetup.net/wp-content/uploads/2014/09/nordeus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3442" cy="484309"/>
                  </a:xfrm>
                  <a:prstGeom prst="rect"/>
                  <a:ln/>
                </pic:spPr>
              </pic:pic>
            </a:graphicData>
          </a:graphic>
        </wp:inline>
      </w:drawing>
    </w:r>
    <w:hyperlink r:id="rId2">
      <w:r w:rsidDel="00000000" w:rsidR="00000000" w:rsidRPr="00000000">
        <w:rPr>
          <w:rtl w:val="0"/>
        </w:rPr>
      </w:r>
    </w:hyperlink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norde.us/backend-dev-intern" TargetMode="External"/><Relationship Id="rId10" Type="http://schemas.openxmlformats.org/officeDocument/2006/relationships/hyperlink" Target="http://norde.us/backend-dev-intern" TargetMode="External"/><Relationship Id="rId13" Type="http://schemas.openxmlformats.org/officeDocument/2006/relationships/hyperlink" Target="mailto:internship@nordeus.com" TargetMode="External"/><Relationship Id="rId12" Type="http://schemas.openxmlformats.org/officeDocument/2006/relationships/hyperlink" Target="mailto:internship@nordeus.com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norde.us/backend-internship" TargetMode="External"/><Relationship Id="rId15" Type="http://schemas.openxmlformats.org/officeDocument/2006/relationships/hyperlink" Target="http://www.nordeus.com/" TargetMode="External"/><Relationship Id="rId14" Type="http://schemas.openxmlformats.org/officeDocument/2006/relationships/hyperlink" Target="http://www.nordeus.com/" TargetMode="External"/><Relationship Id="rId17" Type="http://schemas.openxmlformats.org/officeDocument/2006/relationships/header" Target="header1.xml"/><Relationship Id="rId16" Type="http://schemas.openxmlformats.org/officeDocument/2006/relationships/hyperlink" Target="http://www.nordeus.com/" TargetMode="External"/><Relationship Id="rId5" Type="http://schemas.openxmlformats.org/officeDocument/2006/relationships/hyperlink" Target="http://www.nordeus.com/" TargetMode="External"/><Relationship Id="rId6" Type="http://schemas.openxmlformats.org/officeDocument/2006/relationships/hyperlink" Target="http://www.topeleven.com/" TargetMode="External"/><Relationship Id="rId7" Type="http://schemas.openxmlformats.org/officeDocument/2006/relationships/hyperlink" Target="http://www.topeleven.com/" TargetMode="External"/><Relationship Id="rId8" Type="http://schemas.openxmlformats.org/officeDocument/2006/relationships/hyperlink" Target="http://norde.us/backend-internship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Relationship Id="rId2" Type="http://schemas.openxmlformats.org/officeDocument/2006/relationships/hyperlink" Target="http://www.nordeus.com/" TargetMode="External"/></Relationships>
</file>